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633D" w14:textId="77777777" w:rsidR="001E7DAD" w:rsidRPr="001E7DAD" w:rsidRDefault="001E7DAD" w:rsidP="001E7DAD">
      <w:pPr>
        <w:shd w:val="clear" w:color="auto" w:fill="FFFFFF"/>
        <w:spacing w:before="288" w:after="144" w:line="288" w:lineRule="atLeast"/>
        <w:jc w:val="center"/>
        <w:outlineLvl w:val="2"/>
        <w:rPr>
          <w:rFonts w:ascii="Helvetica" w:eastAsia="Times New Roman" w:hAnsi="Helvetica" w:cs="Helvetica"/>
          <w:b/>
          <w:bCs/>
          <w:color w:val="4472C4" w:themeColor="accent1"/>
          <w:spacing w:val="-3"/>
          <w:sz w:val="36"/>
          <w:szCs w:val="36"/>
        </w:rPr>
      </w:pPr>
      <w:r w:rsidRPr="001E7DAD">
        <w:rPr>
          <w:rFonts w:ascii="Helvetica" w:eastAsia="Times New Roman" w:hAnsi="Helvetica" w:cs="Helvetica"/>
          <w:b/>
          <w:bCs/>
          <w:color w:val="4472C4" w:themeColor="accent1"/>
          <w:spacing w:val="-3"/>
          <w:sz w:val="36"/>
          <w:szCs w:val="36"/>
        </w:rPr>
        <w:t>Your Rights and Protections Against Surprise Medical Bills</w:t>
      </w:r>
    </w:p>
    <w:p w14:paraId="47291721" w14:textId="28B12BAE" w:rsidR="001E7DAD" w:rsidRPr="001E7DAD" w:rsidRDefault="001E7DAD" w:rsidP="001E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7DAD" w14:paraId="5E85E122" w14:textId="77777777" w:rsidTr="001E7DAD">
        <w:trPr>
          <w:trHeight w:val="1034"/>
        </w:trPr>
        <w:tc>
          <w:tcPr>
            <w:tcW w:w="10790" w:type="dxa"/>
          </w:tcPr>
          <w:p w14:paraId="1C4BB0E3" w14:textId="77777777" w:rsidR="001E7DAD" w:rsidRDefault="001E7DAD" w:rsidP="001E7D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CF2A7" w14:textId="5272E1C2" w:rsidR="001E7DAD" w:rsidRDefault="001E7DAD" w:rsidP="001E7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When you get emergency care or get treated by an out-of-network provider at an in-network hospital or ambulatory surgical center, you are protected from surprise billing or balance billing</w:t>
            </w:r>
          </w:p>
        </w:tc>
      </w:tr>
    </w:tbl>
    <w:p w14:paraId="594C4205" w14:textId="77777777" w:rsid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</w:pPr>
    </w:p>
    <w:p w14:paraId="6A230F73" w14:textId="44144949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8"/>
          <w:szCs w:val="28"/>
          <w:u w:val="single"/>
        </w:rPr>
      </w:pPr>
      <w:r w:rsidRPr="001E7DAD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single"/>
        </w:rPr>
        <w:t>What is “balance billing” (sometimes called “surprise billing”)?</w:t>
      </w:r>
    </w:p>
    <w:p w14:paraId="5E148BC3" w14:textId="77777777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 xml:space="preserve">When you see a doctor or other health care provider, you may owe certain out-of-pocket costs, such as a copayment, coinsurance, and/or a deductible. You may have other costs or </w:t>
      </w:r>
      <w:proofErr w:type="gramStart"/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have to</w:t>
      </w:r>
      <w:proofErr w:type="gramEnd"/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 xml:space="preserve"> pay the entire bill if you see a provider or visit a health care facility that isn’t in your health plan’s network.</w:t>
      </w:r>
    </w:p>
    <w:p w14:paraId="5542A1A3" w14:textId="77777777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 xml:space="preserve">“Out-of-network” describes providers and facilities that haven’t signed a contract with your health plan. Out-of-network providers may be permitted to bill you for the difference between what your plan agreed to </w:t>
      </w:r>
      <w:proofErr w:type="gramStart"/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pay</w:t>
      </w:r>
      <w:proofErr w:type="gramEnd"/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 xml:space="preserve"> and the full amount charged for a service. This is called “</w:t>
      </w:r>
      <w:r w:rsidRPr="001E7DAD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balance billing</w:t>
      </w: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.” This amount is likely more than in-network costs for the same service and might not count toward your annual out-of-pocket limit.</w:t>
      </w:r>
    </w:p>
    <w:p w14:paraId="783FD655" w14:textId="77777777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“Surprise billing” is an unexpected balance bill. This can happen when you can’t control who is involved in your care—like when you have an emergency or when you schedule a visit at an in- network facility but are unexpectedly treated by an out-of-network provider.</w:t>
      </w:r>
    </w:p>
    <w:p w14:paraId="440E7F34" w14:textId="77777777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8"/>
          <w:szCs w:val="28"/>
          <w:u w:val="single"/>
        </w:rPr>
      </w:pPr>
      <w:r w:rsidRPr="001E7DAD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single"/>
        </w:rPr>
        <w:t>You are protected from balance billing for:</w:t>
      </w:r>
    </w:p>
    <w:p w14:paraId="7B32BF56" w14:textId="77777777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t>Emergency services</w:t>
      </w:r>
      <w:r w:rsidRPr="001E7DAD">
        <w:rPr>
          <w:rFonts w:ascii="Helvetica" w:eastAsia="Times New Roman" w:hAnsi="Helvetica" w:cs="Helvetica"/>
          <w:color w:val="555555"/>
          <w:sz w:val="30"/>
          <w:szCs w:val="30"/>
        </w:rPr>
        <w:br/>
      </w: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If you have an emergency medical condition and get emergency services from an out-of- network provider or facility, the most the provider or facility may bill you is your plan’s in- network cost-sharing amount (such as copayments and coinsurance). You </w:t>
      </w:r>
      <w:r w:rsidRPr="001E7DAD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can’t</w:t>
      </w: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 xml:space="preserve"> be balance billed for these emergency services. This includes services you may get after you’re in stable </w:t>
      </w:r>
      <w:proofErr w:type="gramStart"/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condition, unless</w:t>
      </w:r>
      <w:proofErr w:type="gramEnd"/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 xml:space="preserve"> you give written consent and give up your protections not to be balanced billed for these post-stabilization services.</w:t>
      </w:r>
    </w:p>
    <w:p w14:paraId="64E33117" w14:textId="2F4EA3A5" w:rsidR="001E7DAD" w:rsidRPr="006E5938" w:rsidRDefault="006E5938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6E5938">
        <w:rPr>
          <w:rFonts w:ascii="Helvetica" w:eastAsia="Times New Roman" w:hAnsi="Helvetica" w:cs="Helvetica"/>
          <w:color w:val="555555"/>
          <w:sz w:val="24"/>
          <w:szCs w:val="24"/>
        </w:rPr>
        <w:t xml:space="preserve">With Florida law, when you get services from an in-network hospital or ambulatory surgery center, certain providers there may be out-of-network. In these cases, the most those providers can bill you is your plan’s in-network cost-sharing amount. This applies to emergency medicine, anesthesia, pathology, radiology, laboratory, neonatology, assistant surgeon, </w:t>
      </w:r>
      <w:proofErr w:type="gramStart"/>
      <w:r w:rsidRPr="006E5938">
        <w:rPr>
          <w:rFonts w:ascii="Helvetica" w:eastAsia="Times New Roman" w:hAnsi="Helvetica" w:cs="Helvetica"/>
          <w:color w:val="555555"/>
          <w:sz w:val="24"/>
          <w:szCs w:val="24"/>
        </w:rPr>
        <w:t>hospitalist</w:t>
      </w:r>
      <w:proofErr w:type="gramEnd"/>
      <w:r w:rsidRPr="006E5938">
        <w:rPr>
          <w:rFonts w:ascii="Helvetica" w:eastAsia="Times New Roman" w:hAnsi="Helvetica" w:cs="Helvetica"/>
          <w:color w:val="555555"/>
          <w:sz w:val="24"/>
          <w:szCs w:val="24"/>
        </w:rPr>
        <w:t xml:space="preserve"> or intensivist services. These providers can’t balance </w:t>
      </w:r>
      <w:proofErr w:type="gramStart"/>
      <w:r w:rsidRPr="006E5938">
        <w:rPr>
          <w:rFonts w:ascii="Helvetica" w:eastAsia="Times New Roman" w:hAnsi="Helvetica" w:cs="Helvetica"/>
          <w:color w:val="555555"/>
          <w:sz w:val="24"/>
          <w:szCs w:val="24"/>
        </w:rPr>
        <w:t>bill  you</w:t>
      </w:r>
      <w:proofErr w:type="gramEnd"/>
      <w:r w:rsidRPr="006E5938">
        <w:rPr>
          <w:rFonts w:ascii="Helvetica" w:eastAsia="Times New Roman" w:hAnsi="Helvetica" w:cs="Helvetica"/>
          <w:color w:val="555555"/>
          <w:sz w:val="24"/>
          <w:szCs w:val="24"/>
        </w:rPr>
        <w:t xml:space="preserve"> and may not ask you to give up your protections not to be balance billed.</w:t>
      </w:r>
    </w:p>
    <w:p w14:paraId="76E8B93F" w14:textId="442F86A2" w:rsidR="006E5938" w:rsidRPr="001E7DAD" w:rsidRDefault="006E5938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6E5938">
        <w:rPr>
          <w:rFonts w:ascii="Helvetica" w:eastAsia="Times New Roman" w:hAnsi="Helvetica" w:cs="Helvetica"/>
          <w:color w:val="555555"/>
          <w:sz w:val="24"/>
          <w:szCs w:val="24"/>
        </w:rPr>
        <w:t>If you get other types of services at these in-network facilities, out-of-network providers cannot balance bill you, unless you give written consent and give up your protection.</w:t>
      </w:r>
    </w:p>
    <w:p w14:paraId="7ADF1A17" w14:textId="77777777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b/>
          <w:bCs/>
          <w:color w:val="555555"/>
          <w:sz w:val="28"/>
          <w:szCs w:val="28"/>
        </w:rPr>
        <w:t>Certain services at an in-network hospital or ambulatory surgical center</w:t>
      </w:r>
      <w:r w:rsidRPr="001E7DAD">
        <w:rPr>
          <w:rFonts w:ascii="Helvetica" w:eastAsia="Times New Roman" w:hAnsi="Helvetica" w:cs="Helvetica"/>
          <w:color w:val="555555"/>
          <w:sz w:val="28"/>
          <w:szCs w:val="28"/>
        </w:rPr>
        <w:br/>
      </w: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When you get services from an in-network hospital or ambulatory surgical center, certain providers there may be out-of-network. In these cases, the most those providers may bill you is your plan’s in-</w:t>
      </w: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lastRenderedPageBreak/>
        <w:t>network cost-sharing amount. This applies to emergency medicine, anesthesia, pathology, radiology, laboratory, neonatology, assistant surgeon, hospitalist, or intensivist services. These providers </w:t>
      </w:r>
      <w:r w:rsidRPr="001E7DAD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can’t</w:t>
      </w: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 balance bill you and may </w:t>
      </w:r>
      <w:r w:rsidRPr="001E7DAD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not</w:t>
      </w: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 ask you to give up your protections not to be balance billed. If you get other services at these in-network facilities, out-of-network providers </w:t>
      </w:r>
      <w:r w:rsidRPr="001E7DAD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can’t</w:t>
      </w: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 balance bill you, unless you give written consent and give up your protections.</w:t>
      </w:r>
    </w:p>
    <w:p w14:paraId="5BF8E348" w14:textId="77777777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8"/>
          <w:szCs w:val="28"/>
        </w:rPr>
      </w:pPr>
      <w:r w:rsidRPr="001E7DAD">
        <w:rPr>
          <w:rFonts w:ascii="Helvetica" w:eastAsia="Times New Roman" w:hAnsi="Helvetica" w:cs="Helvetica"/>
          <w:b/>
          <w:bCs/>
          <w:color w:val="555555"/>
          <w:sz w:val="28"/>
          <w:szCs w:val="28"/>
        </w:rPr>
        <w:t>You’re </w:t>
      </w:r>
      <w:r w:rsidRPr="001E7DAD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single"/>
        </w:rPr>
        <w:t>never</w:t>
      </w:r>
      <w:r w:rsidRPr="001E7DAD">
        <w:rPr>
          <w:rFonts w:ascii="Helvetica" w:eastAsia="Times New Roman" w:hAnsi="Helvetica" w:cs="Helvetica"/>
          <w:b/>
          <w:bCs/>
          <w:color w:val="555555"/>
          <w:sz w:val="28"/>
          <w:szCs w:val="28"/>
        </w:rPr>
        <w:t> required to give up your protections from balance billing. You also aren’t required to get care out-of-network. You can choose a provider or facility in your plan’s network.</w:t>
      </w:r>
    </w:p>
    <w:p w14:paraId="763435F7" w14:textId="77777777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In Florida, out-of-network providers who provide non-emergency services at in-network facilities are prohibited from billing PPO patients for any amount beyond their in-network level of cost sharing. Fla. Stat. § 627.64194.</w:t>
      </w:r>
    </w:p>
    <w:p w14:paraId="4C074BC0" w14:textId="77777777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8"/>
          <w:szCs w:val="28"/>
          <w:u w:val="single"/>
        </w:rPr>
      </w:pPr>
      <w:r w:rsidRPr="001E7DAD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single"/>
        </w:rPr>
        <w:t>When balance billing isn’t allowed, you also have the following protections:</w:t>
      </w:r>
    </w:p>
    <w:p w14:paraId="4EF1EAE0" w14:textId="77777777" w:rsidR="001E7DAD" w:rsidRPr="001E7DAD" w:rsidRDefault="001E7DAD" w:rsidP="001E7DAD">
      <w:pPr>
        <w:numPr>
          <w:ilvl w:val="0"/>
          <w:numId w:val="1"/>
        </w:numPr>
        <w:shd w:val="clear" w:color="auto" w:fill="FFFFFF"/>
        <w:spacing w:before="100" w:beforeAutospacing="1" w:after="525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You are only responsible for paying your share of the cost (like the copayments, coinsurance, and deductibles that you would pay if the provider or facility was in-network). Your health plan will pay out-of-network providers and facilities directly.</w:t>
      </w:r>
    </w:p>
    <w:p w14:paraId="31CC8352" w14:textId="77777777" w:rsidR="001E7DAD" w:rsidRPr="001E7DAD" w:rsidRDefault="001E7DAD" w:rsidP="001E7DA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Your health plan generally must:</w:t>
      </w:r>
    </w:p>
    <w:p w14:paraId="0DD6A281" w14:textId="77777777" w:rsidR="001E7DAD" w:rsidRPr="001E7DAD" w:rsidRDefault="001E7DAD" w:rsidP="001E7DAD">
      <w:pPr>
        <w:numPr>
          <w:ilvl w:val="1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Cover emergency services without requiring you to get approval for services in advance (prior authorization).</w:t>
      </w:r>
    </w:p>
    <w:p w14:paraId="7E24EDCD" w14:textId="77777777" w:rsidR="001E7DAD" w:rsidRPr="001E7DAD" w:rsidRDefault="001E7DAD" w:rsidP="001E7DAD">
      <w:pPr>
        <w:numPr>
          <w:ilvl w:val="1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Cover emergency services by out-of-network providers.</w:t>
      </w:r>
    </w:p>
    <w:p w14:paraId="69C3C17D" w14:textId="77777777" w:rsidR="001E7DAD" w:rsidRPr="001E7DAD" w:rsidRDefault="001E7DAD" w:rsidP="001E7DAD">
      <w:pPr>
        <w:numPr>
          <w:ilvl w:val="1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Base what you owe the provider or facility (cost-sharing) on what it would pay an in-network provider or facility and show that amount in your explanation of benefits.</w:t>
      </w:r>
    </w:p>
    <w:p w14:paraId="15E2C788" w14:textId="77777777" w:rsidR="001E7DAD" w:rsidRPr="001E7DAD" w:rsidRDefault="001E7DAD" w:rsidP="001E7DAD">
      <w:pPr>
        <w:numPr>
          <w:ilvl w:val="1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Count any amount you pay for emergency services or out-of-network services toward your deductible and out-of-pocket limit.</w:t>
      </w:r>
    </w:p>
    <w:p w14:paraId="380D6E32" w14:textId="77777777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If you believe you’ve been wrongly billed</w:t>
      </w: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, you may contact the Florida Insurance Consumer Helpline at </w:t>
      </w:r>
      <w:hyperlink r:id="rId5" w:history="1">
        <w:r w:rsidRPr="001E7DAD">
          <w:rPr>
            <w:rFonts w:ascii="Helvetica" w:eastAsia="Times New Roman" w:hAnsi="Helvetica" w:cs="Helvetica"/>
            <w:b/>
            <w:bCs/>
            <w:color w:val="28764D"/>
            <w:sz w:val="24"/>
            <w:szCs w:val="24"/>
            <w:u w:val="single"/>
          </w:rPr>
          <w:t>1-877-693-5236</w:t>
        </w:r>
      </w:hyperlink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; the Florida Department of Health at </w:t>
      </w:r>
      <w:hyperlink r:id="rId6" w:history="1">
        <w:r w:rsidRPr="001E7DAD">
          <w:rPr>
            <w:rFonts w:ascii="Helvetica" w:eastAsia="Times New Roman" w:hAnsi="Helvetica" w:cs="Helvetica"/>
            <w:b/>
            <w:bCs/>
            <w:color w:val="28764D"/>
            <w:sz w:val="24"/>
            <w:szCs w:val="24"/>
            <w:u w:val="single"/>
          </w:rPr>
          <w:t>850-245-4444</w:t>
        </w:r>
      </w:hyperlink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; or the Agency for Health Care Administration at </w:t>
      </w:r>
      <w:hyperlink r:id="rId7" w:history="1">
        <w:r w:rsidRPr="001E7DAD">
          <w:rPr>
            <w:rFonts w:ascii="Helvetica" w:eastAsia="Times New Roman" w:hAnsi="Helvetica" w:cs="Helvetica"/>
            <w:b/>
            <w:bCs/>
            <w:color w:val="28764D"/>
            <w:sz w:val="24"/>
            <w:szCs w:val="24"/>
            <w:u w:val="single"/>
          </w:rPr>
          <w:t>888-419-3456</w:t>
        </w:r>
      </w:hyperlink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.</w:t>
      </w:r>
    </w:p>
    <w:p w14:paraId="76493A12" w14:textId="77777777" w:rsidR="001E7DAD" w:rsidRPr="001E7DAD" w:rsidRDefault="001E7DAD" w:rsidP="001E7DA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Visit </w:t>
      </w:r>
      <w:hyperlink r:id="rId8" w:tgtFrame="_blank" w:history="1">
        <w:r w:rsidRPr="001E7DAD">
          <w:rPr>
            <w:rFonts w:ascii="Helvetica" w:eastAsia="Times New Roman" w:hAnsi="Helvetica" w:cs="Helvetica"/>
            <w:b/>
            <w:bCs/>
            <w:color w:val="28764D"/>
            <w:sz w:val="24"/>
            <w:szCs w:val="24"/>
            <w:u w:val="single"/>
          </w:rPr>
          <w:t>cms.gov/nosurprises/consumers</w:t>
        </w:r>
      </w:hyperlink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 for more information about your rights under federal law. Visit </w:t>
      </w:r>
      <w:hyperlink r:id="rId9" w:tgtFrame="_blank" w:history="1">
        <w:r w:rsidRPr="001E7DAD">
          <w:rPr>
            <w:rFonts w:ascii="Helvetica" w:eastAsia="Times New Roman" w:hAnsi="Helvetica" w:cs="Helvetica"/>
            <w:b/>
            <w:bCs/>
            <w:color w:val="28764D"/>
            <w:sz w:val="24"/>
            <w:szCs w:val="24"/>
            <w:u w:val="single"/>
          </w:rPr>
          <w:t>https://www.flsenate.gov/laws/statutes</w:t>
        </w:r>
      </w:hyperlink>
      <w:r w:rsidRPr="001E7DAD">
        <w:rPr>
          <w:rFonts w:ascii="Helvetica" w:eastAsia="Times New Roman" w:hAnsi="Helvetica" w:cs="Helvetica"/>
          <w:color w:val="555555"/>
          <w:sz w:val="24"/>
          <w:szCs w:val="24"/>
        </w:rPr>
        <w:t> for more information about your rights under Florida law.</w:t>
      </w:r>
    </w:p>
    <w:p w14:paraId="7245B06F" w14:textId="77777777" w:rsidR="00F51FCC" w:rsidRPr="001E7DAD" w:rsidRDefault="006E5938" w:rsidP="001E7DAD"/>
    <w:sectPr w:rsidR="00F51FCC" w:rsidRPr="001E7DAD" w:rsidSect="001E7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665E"/>
    <w:multiLevelType w:val="multilevel"/>
    <w:tmpl w:val="C27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AD"/>
    <w:rsid w:val="001E7DAD"/>
    <w:rsid w:val="00490972"/>
    <w:rsid w:val="006E5938"/>
    <w:rsid w:val="00D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C9DE"/>
  <w15:chartTrackingRefBased/>
  <w15:docId w15:val="{21C8AE16-7D93-4E0A-9E25-0E91CEF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7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D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D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7DAD"/>
    <w:rPr>
      <w:color w:val="0000FF"/>
      <w:u w:val="single"/>
    </w:rPr>
  </w:style>
  <w:style w:type="table" w:styleId="TableGrid">
    <w:name w:val="Table Grid"/>
    <w:basedOn w:val="TableNormal"/>
    <w:uiPriority w:val="39"/>
    <w:rsid w:val="001E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nosurprises/consumers" TargetMode="External"/><Relationship Id="rId3" Type="http://schemas.openxmlformats.org/officeDocument/2006/relationships/settings" Target="settings.xml"/><Relationship Id="rId7" Type="http://schemas.openxmlformats.org/officeDocument/2006/relationships/hyperlink" Target="tel:888-419-3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50-245-4444" TargetMode="External"/><Relationship Id="rId11" Type="http://schemas.openxmlformats.org/officeDocument/2006/relationships/theme" Target="theme/theme1.xml"/><Relationship Id="rId5" Type="http://schemas.openxmlformats.org/officeDocument/2006/relationships/hyperlink" Target="tel:1-877-693-52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senate.gov/laws/stat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Rabener, Kimberly</dc:creator>
  <cp:keywords/>
  <dc:description/>
  <cp:lastModifiedBy>Rabener, Kimberly</cp:lastModifiedBy>
  <cp:revision>1</cp:revision>
  <dcterms:created xsi:type="dcterms:W3CDTF">2022-03-08T17:11:00Z</dcterms:created>
  <dcterms:modified xsi:type="dcterms:W3CDTF">2022-03-08T18:16:00Z</dcterms:modified>
</cp:coreProperties>
</file>